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before="0" w:after="0" w:line="240" w:lineRule="auto"/>
        <w:jc w:val="center"/>
        <w:rPr>
          <w:rFonts w:hint="default"/>
        </w:rPr>
      </w:pPr>
      <w:r>
        <w:rPr>
          <w:rFonts w:ascii="黑体" w:hAnsi="黑体" w:eastAsia="黑体" w:cs="黑体"/>
          <w:lang w:val="zh-TW" w:eastAsia="zh-TW"/>
        </w:rPr>
        <w:t>对外经济贸易大学</w:t>
      </w:r>
    </w:p>
    <w:p>
      <w:pPr>
        <w:pStyle w:val="9"/>
        <w:spacing w:before="0" w:after="0" w:line="240" w:lineRule="auto"/>
        <w:jc w:val="center"/>
        <w:rPr>
          <w:rFonts w:hint="default"/>
        </w:rPr>
      </w:pPr>
      <w:r>
        <w:rPr>
          <w:rFonts w:ascii="黑体" w:hAnsi="黑体" w:eastAsia="黑体" w:cs="黑体"/>
          <w:lang w:val="zh-TW" w:eastAsia="zh-TW"/>
        </w:rPr>
        <w:t>群众性文体娱乐活动登记审批表</w:t>
      </w:r>
    </w:p>
    <w:tbl>
      <w:tblPr>
        <w:tblStyle w:val="4"/>
        <w:tblW w:w="8296" w:type="dxa"/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6"/>
        <w:gridCol w:w="1227"/>
        <w:gridCol w:w="2464"/>
        <w:gridCol w:w="514"/>
        <w:gridCol w:w="1226"/>
        <w:gridCol w:w="1344"/>
        <w:gridCol w:w="106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0" w:hRule="atLeast"/>
          <w:jc w:val="center"/>
        </w:trPr>
        <w:tc>
          <w:tcPr>
            <w:tcW w:w="1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举办单位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both"/>
              <w:rPr>
                <w:rFonts w:hint="default"/>
              </w:rPr>
            </w:pPr>
          </w:p>
        </w:tc>
        <w:tc>
          <w:tcPr>
            <w:tcW w:w="17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负责人签名</w:t>
            </w:r>
          </w:p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及联系方式</w:t>
            </w: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both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0" w:hRule="atLeast"/>
          <w:jc w:val="center"/>
        </w:trPr>
        <w:tc>
          <w:tcPr>
            <w:tcW w:w="1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活动名称</w:t>
            </w:r>
          </w:p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（需附方案）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both"/>
              <w:rPr>
                <w:rFonts w:eastAsiaTheme="minorEastAsia"/>
              </w:rPr>
            </w:pPr>
          </w:p>
        </w:tc>
        <w:tc>
          <w:tcPr>
            <w:tcW w:w="17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活动场地</w:t>
            </w: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both"/>
              <w:rPr>
                <w:rFonts w:hint="default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5" w:hRule="atLeast"/>
          <w:jc w:val="center"/>
        </w:trPr>
        <w:tc>
          <w:tcPr>
            <w:tcW w:w="1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活动规模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 w:eastAsiaTheme="minorEastAsia"/>
              </w:rPr>
            </w:pPr>
          </w:p>
        </w:tc>
        <w:tc>
          <w:tcPr>
            <w:tcW w:w="17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参加人数</w:t>
            </w: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both"/>
              <w:rPr>
                <w:rFonts w:eastAsiaTheme="minorEastAsi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9" w:hRule="atLeast"/>
          <w:jc w:val="center"/>
        </w:trPr>
        <w:tc>
          <w:tcPr>
            <w:tcW w:w="1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活动时间</w:t>
            </w:r>
          </w:p>
        </w:tc>
        <w:tc>
          <w:tcPr>
            <w:tcW w:w="66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1" w:hRule="atLeast"/>
          <w:jc w:val="center"/>
        </w:trPr>
        <w:tc>
          <w:tcPr>
            <w:tcW w:w="1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主要活动内容</w:t>
            </w:r>
          </w:p>
        </w:tc>
        <w:tc>
          <w:tcPr>
            <w:tcW w:w="66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keepNext w:val="0"/>
              <w:keepLines w:val="0"/>
              <w:spacing w:before="0" w:after="0" w:line="360" w:lineRule="auto"/>
              <w:ind w:right="325"/>
              <w:jc w:val="left"/>
              <w:outlineLvl w:val="9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1" w:hRule="atLeast"/>
          <w:jc w:val="center"/>
        </w:trPr>
        <w:tc>
          <w:tcPr>
            <w:tcW w:w="1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安全保卫措施</w:t>
            </w:r>
          </w:p>
        </w:tc>
        <w:tc>
          <w:tcPr>
            <w:tcW w:w="4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是否用电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 w:eastAsiaTheme="minorEastAsi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举办单位</w:t>
            </w:r>
          </w:p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意</w:t>
            </w:r>
          </w:p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见</w:t>
            </w:r>
          </w:p>
        </w:tc>
        <w:tc>
          <w:tcPr>
            <w:tcW w:w="36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审批单位</w:t>
            </w:r>
          </w:p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意</w:t>
            </w:r>
          </w:p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见</w:t>
            </w:r>
          </w:p>
        </w:tc>
        <w:tc>
          <w:tcPr>
            <w:tcW w:w="3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44" w:type="dxa"/>
            </w:tcMar>
            <w:vAlign w:val="center"/>
          </w:tcPr>
          <w:p>
            <w:pPr>
              <w:pStyle w:val="10"/>
              <w:ind w:right="964"/>
              <w:rPr>
                <w:rFonts w:hint="default"/>
                <w:b/>
                <w:bCs/>
                <w:sz w:val="24"/>
                <w:szCs w:val="24"/>
              </w:rPr>
            </w:pPr>
          </w:p>
          <w:p>
            <w:pPr>
              <w:pStyle w:val="10"/>
              <w:jc w:val="right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校团委（校工会）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6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  <w:tc>
          <w:tcPr>
            <w:tcW w:w="36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  <w:tc>
          <w:tcPr>
            <w:tcW w:w="3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44" w:type="dxa"/>
            </w:tcMar>
            <w:vAlign w:val="center"/>
          </w:tcPr>
          <w:p>
            <w:pPr>
              <w:pStyle w:val="10"/>
              <w:ind w:right="964"/>
              <w:rPr>
                <w:rFonts w:hint="default"/>
                <w:b/>
                <w:bCs/>
                <w:sz w:val="24"/>
                <w:szCs w:val="24"/>
              </w:rPr>
            </w:pPr>
          </w:p>
          <w:p>
            <w:pPr>
              <w:pStyle w:val="10"/>
              <w:jc w:val="right"/>
              <w:rPr>
                <w:rFonts w:hint="default" w:eastAsia="PMingLiU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校学生会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0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保</w:t>
            </w:r>
          </w:p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卫</w:t>
            </w:r>
          </w:p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处</w:t>
            </w:r>
          </w:p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意</w:t>
            </w:r>
          </w:p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见</w:t>
            </w:r>
          </w:p>
        </w:tc>
        <w:tc>
          <w:tcPr>
            <w:tcW w:w="36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后勤处</w:t>
            </w:r>
          </w:p>
          <w:p>
            <w:pPr>
              <w:pStyle w:val="1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意</w:t>
            </w:r>
          </w:p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见</w:t>
            </w:r>
          </w:p>
        </w:tc>
        <w:tc>
          <w:tcPr>
            <w:tcW w:w="3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left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物业中心意见（场地保洁）</w:t>
            </w:r>
          </w:p>
          <w:p>
            <w:pPr>
              <w:pStyle w:val="10"/>
              <w:jc w:val="left"/>
              <w:rPr>
                <w:rFonts w:hint="default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06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lang w:eastAsia="zh-CN"/>
              </w:rPr>
            </w:pPr>
          </w:p>
        </w:tc>
        <w:tc>
          <w:tcPr>
            <w:tcW w:w="36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lang w:eastAsia="zh-CN"/>
              </w:rPr>
            </w:pP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lang w:eastAsia="zh-CN"/>
              </w:rPr>
            </w:pPr>
          </w:p>
        </w:tc>
        <w:tc>
          <w:tcPr>
            <w:tcW w:w="3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left"/>
              <w:rPr>
                <w:rFonts w:hint="default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修缮中心意见（接电）</w:t>
            </w:r>
          </w:p>
          <w:p>
            <w:pPr>
              <w:pStyle w:val="10"/>
              <w:jc w:val="left"/>
              <w:rPr>
                <w:rFonts w:hint="default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1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注意事项</w:t>
            </w:r>
          </w:p>
        </w:tc>
        <w:tc>
          <w:tcPr>
            <w:tcW w:w="7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1"/>
              <w:rPr>
                <w:rFonts w:hint="default" w:ascii="宋体" w:hAnsi="宋体" w:eastAsia="宋体" w:cs="宋体"/>
                <w:lang w:val="zh-TW" w:eastAsia="zh-TW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第一条 各部门、各组织在填写此表时，必须在活动内容栏注明具体的活动设施（包括用于宣传的展架、展台等具体大小和数量）；</w:t>
            </w:r>
          </w:p>
          <w:p>
            <w:pPr>
              <w:pStyle w:val="11"/>
              <w:rPr>
                <w:rFonts w:hint="default" w:ascii="宋体" w:hAnsi="宋体" w:eastAsia="宋体" w:cs="宋体"/>
                <w:lang w:val="zh-TW" w:eastAsia="zh-TW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第二条 各部门、各组织必须在此表明确注明是否用电；</w:t>
            </w:r>
          </w:p>
          <w:p>
            <w:pPr>
              <w:pStyle w:val="10"/>
              <w:rPr>
                <w:rFonts w:hint="default" w:ascii="宋体" w:hAnsi="宋体" w:eastAsia="宋体" w:cs="宋体"/>
                <w:lang w:val="zh-TW" w:eastAsia="zh-TW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第三条 填写活动规模、活动人数及场地大小规范：</w:t>
            </w:r>
          </w:p>
          <w:p>
            <w:pPr>
              <w:pStyle w:val="10"/>
              <w:widowControl/>
              <w:spacing w:line="240" w:lineRule="exact"/>
              <w:jc w:val="left"/>
              <w:rPr>
                <w:rFonts w:hint="default"/>
                <w:lang w:eastAsia="zh-TW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小型</w:t>
            </w:r>
            <w:r>
              <w:rPr>
                <w:rFonts w:ascii="宋体" w:hAnsi="宋体" w:eastAsia="宋体" w:cs="宋体"/>
                <w:lang w:val="zh-TW" w:eastAsia="zh-TW"/>
              </w:rPr>
              <w:tab/>
            </w:r>
            <w:r>
              <w:rPr>
                <w:rFonts w:ascii="Times New Roman"/>
                <w:lang w:eastAsia="zh-TW"/>
              </w:rPr>
              <w:t>15</w:t>
            </w:r>
            <w:r>
              <w:rPr>
                <w:rFonts w:ascii="宋体" w:hAnsi="宋体" w:eastAsia="宋体" w:cs="宋体"/>
                <w:lang w:val="zh-TW" w:eastAsia="zh-TW"/>
              </w:rPr>
              <w:t>人及以下</w:t>
            </w:r>
            <w:r>
              <w:rPr>
                <w:rFonts w:ascii="宋体" w:hAnsi="宋体" w:eastAsia="宋体" w:cs="宋体"/>
                <w:lang w:val="zh-TW" w:eastAsia="zh-TW"/>
              </w:rPr>
              <w:tab/>
            </w:r>
            <w:r>
              <w:rPr>
                <w:rFonts w:ascii="Times New Roman"/>
                <w:lang w:eastAsia="zh-TW"/>
              </w:rPr>
              <w:t>1 * 3m*3m</w:t>
            </w:r>
          </w:p>
          <w:p>
            <w:pPr>
              <w:pStyle w:val="10"/>
              <w:widowControl/>
              <w:spacing w:line="240" w:lineRule="exact"/>
              <w:jc w:val="left"/>
              <w:rPr>
                <w:rFonts w:hint="default"/>
                <w:lang w:eastAsia="zh-TW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中型</w:t>
            </w:r>
            <w:r>
              <w:rPr>
                <w:rFonts w:ascii="宋体" w:hAnsi="宋体" w:eastAsia="宋体" w:cs="宋体"/>
                <w:lang w:val="zh-TW" w:eastAsia="zh-TW"/>
              </w:rPr>
              <w:tab/>
            </w:r>
            <w:r>
              <w:rPr>
                <w:rFonts w:ascii="Times New Roman"/>
                <w:lang w:eastAsia="zh-TW"/>
              </w:rPr>
              <w:t>15</w:t>
            </w:r>
            <w:r>
              <w:rPr>
                <w:rFonts w:ascii="宋体" w:hAnsi="宋体" w:eastAsia="宋体" w:cs="宋体"/>
                <w:lang w:val="zh-TW" w:eastAsia="zh-TW"/>
              </w:rPr>
              <w:t>人至</w:t>
            </w:r>
            <w:r>
              <w:rPr>
                <w:rFonts w:ascii="Times New Roman"/>
                <w:lang w:eastAsia="zh-TW"/>
              </w:rPr>
              <w:t>50</w:t>
            </w:r>
            <w:r>
              <w:rPr>
                <w:rFonts w:ascii="宋体" w:hAnsi="宋体" w:eastAsia="宋体" w:cs="宋体"/>
                <w:lang w:val="zh-TW" w:eastAsia="zh-TW"/>
              </w:rPr>
              <w:t>人</w:t>
            </w:r>
            <w:r>
              <w:rPr>
                <w:rFonts w:ascii="宋体" w:hAnsi="宋体" w:eastAsia="宋体" w:cs="宋体"/>
                <w:lang w:val="zh-TW" w:eastAsia="zh-TW"/>
              </w:rPr>
              <w:tab/>
            </w:r>
            <w:r>
              <w:rPr>
                <w:rFonts w:ascii="Times New Roman"/>
                <w:lang w:eastAsia="zh-TW"/>
              </w:rPr>
              <w:t>2 * 3m*3m</w:t>
            </w:r>
          </w:p>
          <w:p>
            <w:pPr>
              <w:pStyle w:val="10"/>
              <w:widowControl/>
              <w:spacing w:line="240" w:lineRule="exact"/>
              <w:jc w:val="left"/>
              <w:rPr>
                <w:rFonts w:hint="default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大型</w:t>
            </w:r>
            <w:r>
              <w:rPr>
                <w:rFonts w:ascii="宋体" w:hAnsi="宋体" w:eastAsia="宋体" w:cs="宋体"/>
                <w:lang w:val="zh-TW" w:eastAsia="zh-TW"/>
              </w:rPr>
              <w:tab/>
            </w:r>
            <w:r>
              <w:rPr>
                <w:rFonts w:ascii="Times New Roman"/>
              </w:rPr>
              <w:t>50</w:t>
            </w:r>
            <w:r>
              <w:rPr>
                <w:rFonts w:ascii="宋体" w:hAnsi="宋体" w:eastAsia="宋体" w:cs="宋体"/>
                <w:lang w:val="zh-TW" w:eastAsia="zh-TW"/>
              </w:rPr>
              <w:t>人至</w:t>
            </w:r>
            <w:r>
              <w:rPr>
                <w:rFonts w:ascii="Times New Roman"/>
              </w:rPr>
              <w:t>500</w:t>
            </w:r>
            <w:r>
              <w:rPr>
                <w:rFonts w:ascii="宋体" w:hAnsi="宋体" w:eastAsia="宋体" w:cs="宋体"/>
                <w:lang w:val="zh-TW" w:eastAsia="zh-TW"/>
              </w:rPr>
              <w:t>人</w:t>
            </w:r>
            <w:r>
              <w:rPr>
                <w:rFonts w:ascii="Times New Roman"/>
              </w:rPr>
              <w:t>(</w:t>
            </w:r>
            <w:r>
              <w:rPr>
                <w:rFonts w:ascii="宋体" w:hAnsi="宋体" w:eastAsia="宋体" w:cs="宋体"/>
                <w:lang w:val="zh-TW" w:eastAsia="zh-TW"/>
              </w:rPr>
              <w:t>原则上不超过</w:t>
            </w:r>
            <w:r>
              <w:rPr>
                <w:rFonts w:ascii="Times New Roman"/>
              </w:rPr>
              <w:t>200</w:t>
            </w:r>
            <w:r>
              <w:rPr>
                <w:rFonts w:ascii="宋体" w:hAnsi="宋体" w:eastAsia="宋体" w:cs="宋体"/>
                <w:lang w:val="zh-TW" w:eastAsia="zh-TW"/>
              </w:rPr>
              <w:t>人</w:t>
            </w:r>
            <w:r>
              <w:rPr>
                <w:rFonts w:ascii="Times New Roman"/>
              </w:rPr>
              <w:t>)</w:t>
            </w:r>
            <w:r>
              <w:rPr>
                <w:rFonts w:ascii="Times New Roman"/>
              </w:rPr>
              <w:tab/>
            </w:r>
            <w:r>
              <w:rPr>
                <w:rFonts w:ascii="Times New Roman"/>
              </w:rPr>
              <w:t>4 * 3m*3m</w:t>
            </w:r>
          </w:p>
          <w:p>
            <w:pPr>
              <w:pStyle w:val="10"/>
              <w:widowControl/>
              <w:tabs>
                <w:tab w:val="center" w:pos="2058"/>
                <w:tab w:val="right" w:pos="4116"/>
              </w:tabs>
              <w:spacing w:line="240" w:lineRule="exact"/>
              <w:jc w:val="left"/>
              <w:rPr>
                <w:rFonts w:hint="default" w:ascii="宋体" w:hAnsi="宋体" w:eastAsia="宋体" w:cs="宋体"/>
                <w:lang w:val="zh-TW" w:eastAsia="zh-TW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需单独向保卫处申报类</w:t>
            </w:r>
            <w:r>
              <w:rPr>
                <w:rFonts w:ascii="宋体" w:hAnsi="宋体" w:eastAsia="宋体" w:cs="宋体"/>
                <w:lang w:val="zh-TW" w:eastAsia="zh-TW"/>
              </w:rPr>
              <w:tab/>
            </w:r>
            <w:r>
              <w:rPr>
                <w:rFonts w:ascii="Times New Roman"/>
              </w:rPr>
              <w:t>500</w:t>
            </w:r>
            <w:r>
              <w:rPr>
                <w:rFonts w:ascii="宋体" w:hAnsi="宋体" w:eastAsia="宋体" w:cs="宋体"/>
                <w:lang w:val="zh-TW" w:eastAsia="zh-TW"/>
              </w:rPr>
              <w:t>人以上</w:t>
            </w:r>
          </w:p>
          <w:p>
            <w:pPr>
              <w:pStyle w:val="10"/>
              <w:rPr>
                <w:rFonts w:hint="default"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第四条 可借用户外场地有且仅为虹远小广场。可用时间为每日</w:t>
            </w:r>
            <w:r>
              <w:rPr>
                <w:rFonts w:ascii="宋体" w:hAnsi="宋体" w:eastAsia="宋体" w:cs="宋体"/>
                <w:sz w:val="22"/>
                <w:szCs w:val="22"/>
              </w:rPr>
              <w:t>9:00—17:00</w:t>
            </w: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。</w:t>
            </w:r>
          </w:p>
          <w:p>
            <w:pPr>
              <w:pStyle w:val="10"/>
              <w:rPr>
                <w:rFonts w:hint="default"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第五条 严禁食品、药品、化妆品等商业展台活动，严禁有现金交易的商业展台活动，严禁展台以外区域张贴或摆放大量商业广告。一经发现取消本学期申请资格；</w:t>
            </w:r>
          </w:p>
          <w:p>
            <w:pPr>
              <w:pStyle w:val="10"/>
              <w:rPr>
                <w:rFonts w:hint="default"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第六条 各展台的摆放必须严格依照《对外经济贸易大学虹远小广场区域划分表》所划分的区域进行摆放；</w:t>
            </w:r>
          </w:p>
          <w:p>
            <w:pPr>
              <w:pStyle w:val="10"/>
              <w:rPr>
                <w:rFonts w:hint="default"/>
              </w:rPr>
            </w:pP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第七条 活动开始后，必须在展台上明确张贴</w:t>
            </w:r>
            <w:r>
              <w:rPr>
                <w:rFonts w:ascii="宋体" w:hAnsi="宋体" w:eastAsia="宋体" w:cs="宋体"/>
                <w:sz w:val="22"/>
                <w:szCs w:val="22"/>
              </w:rPr>
              <w:t>“</w:t>
            </w: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通过审核标签</w:t>
            </w:r>
            <w:r>
              <w:rPr>
                <w:rFonts w:ascii="宋体" w:hAnsi="宋体" w:eastAsia="宋体" w:cs="宋体"/>
                <w:sz w:val="22"/>
                <w:szCs w:val="22"/>
              </w:rPr>
              <w:t>”</w:t>
            </w: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以便于巡查。</w:t>
            </w:r>
          </w:p>
        </w:tc>
      </w:tr>
    </w:tbl>
    <w:p>
      <w:pPr>
        <w:pStyle w:val="9"/>
        <w:spacing w:before="0" w:after="0" w:line="240" w:lineRule="auto"/>
        <w:jc w:val="center"/>
        <w:rPr>
          <w:rFonts w:hint="default"/>
        </w:rPr>
      </w:pPr>
    </w:p>
    <w:p>
      <w:pPr>
        <w:pStyle w:val="10"/>
        <w:jc w:val="right"/>
        <w:rPr>
          <w:rFonts w:hint="default"/>
        </w:rPr>
      </w:pPr>
      <w:r>
        <w:rPr>
          <w:rFonts w:ascii="宋体" w:hAnsi="宋体" w:eastAsia="宋体" w:cs="宋体"/>
          <w:lang w:val="zh-TW" w:eastAsia="zh-TW"/>
        </w:rPr>
        <w:t>共青团对外经济贸易大学委员会制表</w:t>
      </w:r>
    </w:p>
    <w:sectPr>
      <w:pgSz w:w="11900" w:h="16840"/>
      <w:pgMar w:top="800" w:right="1797" w:bottom="800" w:left="1797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</w:compat>
  <w:rsids>
    <w:rsidRoot w:val="00A51BBD"/>
    <w:rsid w:val="000D061A"/>
    <w:rsid w:val="002E7778"/>
    <w:rsid w:val="00366C40"/>
    <w:rsid w:val="00496ABE"/>
    <w:rsid w:val="004A0A26"/>
    <w:rsid w:val="004F1D83"/>
    <w:rsid w:val="00677BA4"/>
    <w:rsid w:val="006A3ACF"/>
    <w:rsid w:val="006F3D95"/>
    <w:rsid w:val="007E374D"/>
    <w:rsid w:val="007E65A7"/>
    <w:rsid w:val="00A36CB4"/>
    <w:rsid w:val="00A5025C"/>
    <w:rsid w:val="00A51BBD"/>
    <w:rsid w:val="00B95981"/>
    <w:rsid w:val="00BE1900"/>
    <w:rsid w:val="00C72C79"/>
    <w:rsid w:val="00DE386F"/>
    <w:rsid w:val="00DE6F8D"/>
    <w:rsid w:val="00E5016F"/>
    <w:rsid w:val="00E9652B"/>
    <w:rsid w:val="00F97579"/>
    <w:rsid w:val="180C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u w:val="single"/>
    </w:rPr>
  </w:style>
  <w:style w:type="table" w:customStyle="1" w:styleId="7">
    <w:name w:val="Table 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页眉与页脚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" w:hAnsi="Arial Unicode MS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9">
    <w:name w:val="标题 31"/>
    <w:next w:val="10"/>
    <w:qFormat/>
    <w:uiPriority w:val="0"/>
    <w:pPr>
      <w:keepNext/>
      <w:keepLines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60" w:after="260" w:line="416" w:lineRule="auto"/>
      <w:jc w:val="both"/>
      <w:outlineLvl w:val="2"/>
    </w:pPr>
    <w:rPr>
      <w:rFonts w:hint="eastAsia" w:ascii="Arial Unicode MS" w:hAnsi="Arial Unicode MS" w:eastAsia="Times New Roman" w:cs="Arial Unicode MS"/>
      <w:b/>
      <w:bCs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10">
    <w:name w:val="正文 A"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11">
    <w:name w:val="批注文字1"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2">
    <w:name w:val="页眉 字符"/>
    <w:basedOn w:val="5"/>
    <w:link w:val="3"/>
    <w:uiPriority w:val="99"/>
    <w:rPr>
      <w:sz w:val="18"/>
      <w:szCs w:val="18"/>
      <w:lang w:eastAsia="en-US"/>
    </w:rPr>
  </w:style>
  <w:style w:type="character" w:customStyle="1" w:styleId="13">
    <w:name w:val="页脚 字符"/>
    <w:basedOn w:val="5"/>
    <w:link w:val="2"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112</Words>
  <Characters>640</Characters>
  <Lines>5</Lines>
  <Paragraphs>1</Paragraphs>
  <TotalTime>25</TotalTime>
  <ScaleCrop>false</ScaleCrop>
  <LinksUpToDate>false</LinksUpToDate>
  <CharactersWithSpaces>751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2017-09-11T02:50:00Z</dcterms:created>
  <dc:creator>qq1350743239</dc:creator>
  <cp:lastModifiedBy>Administrator</cp:lastModifiedBy>
  <dcterms:modified xsi:type="dcterms:W3CDTF">2019-09-06T06:47:12Z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